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pacing w:val="10"/>
          <w:sz w:val="44"/>
          <w:szCs w:val="44"/>
        </w:rPr>
        <w:t xml:space="preserve">RUDOLPH WARD II</w:t>
      </w:r>
    </w:p>
    <w:p>
      <w:pPr>
        <w:spacing w:after="20"/>
      </w:pPr>
      <w:r>
        <w:rPr>
          <w:rFonts w:ascii="Calibri" w:cs="Calibri" w:eastAsia="Calibri" w:hAnsi="Calibri"/>
          <w:color w:val="232323"/>
          <w:sz w:val="19"/>
          <w:szCs w:val="19"/>
        </w:rPr>
        <w:t xml:space="preserve">Rochester, MN  •  (253) 376-5856  •  rudolphwardgraphicdesign@gmail.com</w:t>
      </w:r>
    </w:p>
    <w:p>
      <w:pPr>
        <w:spacing w:after="140"/>
      </w:pPr>
      <w:hyperlink w:history="1" r:id="rIduk5hwmb-v1syynqo8vi7j">
        <w:r>
          <w:rPr>
            <w:rFonts w:ascii="Calibri" w:cs="Calibri" w:eastAsia="Calibri" w:hAnsi="Calibri"/>
            <w:color w:val="00AEEF"/>
            <w:sz w:val="19"/>
            <w:szCs w:val="19"/>
          </w:rPr>
          <w:t xml:space="preserve">linkedin.com/in/rudolphwardgraphicdesign</w:t>
        </w:r>
      </w:hyperlink>
      <w:r>
        <w:rPr>
          <w:rFonts w:ascii="Calibri" w:cs="Calibri" w:eastAsia="Calibri" w:hAnsi="Calibri"/>
          <w:color w:val="232323"/>
          <w:sz w:val="19"/>
          <w:szCs w:val="19"/>
        </w:rPr>
        <w:t xml:space="preserve">  •  </w:t>
      </w:r>
      <w:hyperlink w:history="1" r:id="rId38joqzntxu6mqplzmmoro">
        <w:r>
          <w:rPr>
            <w:rFonts w:ascii="Calibri" w:cs="Calibri" w:eastAsia="Calibri" w:hAnsi="Calibri"/>
            <w:color w:val="00AEEF"/>
            <w:sz w:val="19"/>
            <w:szCs w:val="19"/>
          </w:rPr>
          <w:t xml:space="preserve">rwardgraphicdesign.com</w:t>
        </w:r>
      </w:hyperlink>
    </w:p>
    <w:tbl>
      <w:tblPr>
        <w:tblW w:type="dxa" w:w="10512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28"/>
        <w:gridCol w:w="2628"/>
        <w:gridCol w:w="2628"/>
        <w:gridCol w:w="2628"/>
      </w:tblGrid>
      <w:tr>
        <w:trPr>
          <w:trHeight w:val="110" w:hRule="exact"/>
        </w:trPr>
        <w:tc>
          <w:tcPr>
            <w:tcW w:type="dxa" w:w="2628"/>
            <w:shd w:fill="00AEE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2628"/>
            <w:shd w:fill="EC008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2628"/>
            <w:shd w:fill="FFDE17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2628"/>
            <w:shd w:fill="1A1A1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</w:tbl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PROFESSIONAL SUMMARY</w:t>
      </w:r>
    </w:p>
    <w:p>
      <w:pPr>
        <w:spacing w:after="9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Instructional designer and graphic designer with ten years in Adobe Creative Suite and a career building enterprise training, brand systems, and video content for multi-site organizations. Led training design for a warehouse management system rollout across all 70+ US Foods distribution centers nationwide. Comfortable owning work end to end, from curriculum and eLearning development to brand identity, video production, and the style guides that keep it all consistent.</w:t>
      </w:r>
    </w:p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CORE EXPERTISE</w:t>
      </w:r>
    </w:p>
    <w:p>
      <w:pPr>
        <w:spacing w:after="6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Instructional Design &amp; Adult Learning  •  eLearning &amp; Multi-Modal Content Development  •  Brand Identity &amp; Visual Systems  •  Video Production (Script Through Post)  •  Learning Management Systems (LMS)  •  Content Governance &amp; Style Guides  •  Cross-Functional &amp; Stakeholder Collaboration  •  AI-Assisted Content Development</w:t>
      </w:r>
    </w:p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TOOLS &amp; TECHNOLOGIES</w:t>
      </w:r>
    </w:p>
    <w:p>
      <w:pPr>
        <w:spacing w:after="6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Adobe Creative Suite (InDesign: 10 years, Illustrator, Premiere Pro, After Effects)  •  Articulate Storyline &amp; Rise 360 (incl. AI tools)  •  Synthesia (AI voice &amp; video)  •  Custom GPT Development  •  Figma  •  Framer  •  SuccessFactors &amp; Workday (LMS)  •  Microsoft Office Suite</w:t>
      </w:r>
    </w:p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PROFESSIONAL EXPERIENCE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Founder &amp; Graphic Designer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Distress Signal Design Co.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Dec 2025 – Present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Run an independent design practice rebuilding brand identities for small businesses, with brand guidelines and standards that keep each identity consistent across applications.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Create original vector-based illustration and pop culture art.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Faculty Associate, Design School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Arizona State University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Aug 2022 – Present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Manage delivery of online design courses for about 25 adult learners per term, supporting engagement, progress, and course success.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Give feedback and one-on-one guidance grounded in adult learning principles to improve student outcomes.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Work with faculty to keep course content aligned with educational standards and learner needs.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Instructional Designer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US Foods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Sep 2023 – Dec 2025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Co-led design, testing, and rollout of a four-week blended learning program for a new enterprise warehouse management system, building 25+ eLearning modules and 15 role-based learning guides in SuccessFactors for 15 distinct user groups.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Created training deployed across all 70+ US Foods distribution centers nationwide and delivered on-site training at four warehouses; reached 86% on-time completion and 82% positive learner feedback.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Produced AI-assisted training content using Synthesia voice and video and Articulate AI tools, and built custom GPTs that gave learners an on-demand knowledgebase for the new system.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Designed Learning Journey Packets and modernized SOPs and digital documentation in InDesign, improving content governance, brand consistency, and usability.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Built and managed dashboards tracking learning completion, each warehouse's progress toward go-live, and pre- and post-launch performance metrics leadership used to gauge the rollout.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Graphic Designer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Open Network Exchange (ONE)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Jun 2022 – Sep 2023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Designed multi-channel digital assets and visual systems for a software platform ecosystem, supporting customer onboarding, enablement, and partner communications.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Led brand and web design for Princess Cruise Lines, one of the agency's largest accounts: five themed cruise-branded websites, destination branding, a customer loyalty site, and the Princess Perfect Weddings rebrand down to the trade sheet and on-board wedding certificate.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Media Content Producer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P.F. Chang's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May 2021 – May 2022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Produced ~15 training video shoots teaching servers and chefs new menu items, used for training across all 200+ P.F. Chang's locations; owned the pipeline from scriptwriting and SME review through directing and post-production.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Built quarterly Rollout Guides in InDesign and managed the training content library in Workday to keep locations current and on-standard.</w:t>
      </w:r>
    </w:p>
    <w:p>
      <w:pPr>
        <w:spacing w:after="0" w:before="160"/>
      </w:pPr>
      <w:r>
        <w:rPr>
          <w:rFonts w:ascii="Calibri" w:cs="Calibri" w:eastAsia="Calibri" w:hAnsi="Calibri"/>
          <w:b/>
          <w:bCs/>
          <w:color w:val="232323"/>
          <w:sz w:val="22"/>
          <w:szCs w:val="22"/>
        </w:rPr>
        <w:t xml:space="preserve">Communications &amp; Design Specialist</w:t>
      </w:r>
    </w:p>
    <w:p>
      <w:pPr>
        <w:tabs>
          <w:tab w:val="right" w:pos="10512"/>
        </w:tabs>
        <w:spacing w:after="80" w:before="1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P.F. Chang's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	Jul 2019 – May 2021</w:t>
      </w:r>
    </w:p>
    <w:p>
      <w:pPr>
        <w:pStyle w:val="ListParagraph"/>
        <w:numPr>
          <w:ilvl w:val="0"/>
          <w:numId w:val="2"/>
        </w:numPr>
        <w:spacing w:after="70" w:before="0"/>
      </w:pPr>
      <w:r>
        <w:rPr>
          <w:rFonts w:ascii="Calibri" w:cs="Calibri" w:eastAsia="Calibri" w:hAnsi="Calibri"/>
          <w:color w:val="232323"/>
          <w:sz w:val="20"/>
          <w:szCs w:val="20"/>
        </w:rPr>
        <w:t xml:space="preserve">Coordinated rollout and communication plans for operational updates across 200+ locations, designing the style guides and best practices behind quarterly menu changes and internal documentation.</w:t>
      </w:r>
    </w:p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EDUCATION</w:t>
      </w: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232323"/>
          <w:sz w:val="20"/>
          <w:szCs w:val="20"/>
        </w:rPr>
        <w:t xml:space="preserve">Bachelor of Science, Graphic Design</w:t>
      </w:r>
      <w:r>
        <w:rPr>
          <w:rFonts w:ascii="Calibri" w:cs="Calibri" w:eastAsia="Calibri" w:hAnsi="Calibri"/>
          <w:color w:val="232323"/>
          <w:sz w:val="20"/>
          <w:szCs w:val="20"/>
        </w:rPr>
        <w:t xml:space="preserve">   —   Arizona State University (2015 – 2019)</w:t>
      </w:r>
    </w:p>
    <w:p>
      <w:pPr>
        <w:pBdr>
          <w:bottom w:val="single" w:color="00AEEF" w:sz="14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A1A1A"/>
          <w:spacing w:val="20"/>
          <w:sz w:val="23"/>
          <w:szCs w:val="23"/>
        </w:rPr>
        <w:t xml:space="preserve">REFERENCES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232323"/>
          <w:sz w:val="19"/>
          <w:szCs w:val="19"/>
        </w:rPr>
        <w:t xml:space="preserve">Nathan Taylor  </w:t>
      </w:r>
      <w:r>
        <w:rPr>
          <w:rFonts w:ascii="Calibri" w:cs="Calibri" w:eastAsia="Calibri" w:hAnsi="Calibri"/>
          <w:color w:val="232323"/>
          <w:sz w:val="19"/>
          <w:szCs w:val="19"/>
        </w:rPr>
        <w:t xml:space="preserve">— Learning Manager, US Foods 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— Nathan.Taylor@usfoods.com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232323"/>
          <w:sz w:val="19"/>
          <w:szCs w:val="19"/>
        </w:rPr>
        <w:t xml:space="preserve">Jacob Burress  </w:t>
      </w:r>
      <w:r>
        <w:rPr>
          <w:rFonts w:ascii="Calibri" w:cs="Calibri" w:eastAsia="Calibri" w:hAnsi="Calibri"/>
          <w:color w:val="232323"/>
          <w:sz w:val="19"/>
          <w:szCs w:val="19"/>
        </w:rPr>
        <w:t xml:space="preserve">— Creative Director, Open Network Exchange 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— hello@jacobburress.com  •  480-273-9890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232323"/>
          <w:sz w:val="19"/>
          <w:szCs w:val="19"/>
        </w:rPr>
        <w:t xml:space="preserve">Lauri Namnath  </w:t>
      </w:r>
      <w:r>
        <w:rPr>
          <w:rFonts w:ascii="Calibri" w:cs="Calibri" w:eastAsia="Calibri" w:hAnsi="Calibri"/>
          <w:color w:val="232323"/>
          <w:sz w:val="19"/>
          <w:szCs w:val="19"/>
        </w:rPr>
        <w:t xml:space="preserve">— Instructional Design Manager, Vallarta Supermarkets 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— 310-926-6357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232323"/>
          <w:sz w:val="19"/>
          <w:szCs w:val="19"/>
        </w:rPr>
        <w:t xml:space="preserve">Dr. Lisa Peña  </w:t>
      </w:r>
      <w:r>
        <w:rPr>
          <w:rFonts w:ascii="Calibri" w:cs="Calibri" w:eastAsia="Calibri" w:hAnsi="Calibri"/>
          <w:color w:val="232323"/>
          <w:sz w:val="19"/>
          <w:szCs w:val="19"/>
        </w:rPr>
        <w:t xml:space="preserve">— Program Head &amp; Clinical Assistant Professor of Graphic Design, Arizona State University 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— Lisa.Pena@asu.edu  •  602-703-2350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EC008C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k5hwmb-v1syynqo8vi7j" Type="http://schemas.openxmlformats.org/officeDocument/2006/relationships/hyperlink" Target="https://linkedin.com/in/rudolphwardgraphicdesign/" TargetMode="External"/><Relationship Id="rId38joqzntxu6mqplzmmoro" Type="http://schemas.openxmlformats.org/officeDocument/2006/relationships/hyperlink" Target="https://rwardgraphicdesign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2026-07-08T20:22:54.963Z</dcterms:created>
  <dcterms:modified xsi:type="dcterms:W3CDTF">2026-07-08T20:22:54.978Z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